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A5933" w14:textId="77777777" w:rsidR="00E378A9" w:rsidRPr="00A639C2" w:rsidRDefault="00E378A9" w:rsidP="00E378A9">
      <w:pPr>
        <w:spacing w:after="160" w:line="259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6311B513" w14:textId="77777777" w:rsidR="006E701B" w:rsidRPr="005E17E4" w:rsidRDefault="006E701B" w:rsidP="00E378A9">
      <w:pPr>
        <w:spacing w:after="160" w:line="259" w:lineRule="auto"/>
        <w:jc w:val="center"/>
        <w:rPr>
          <w:rFonts w:ascii="Cambria" w:eastAsia="Times New Roman" w:hAnsi="Cambria" w:cs="Calibri Light"/>
          <w:b/>
          <w:bCs/>
          <w:sz w:val="28"/>
          <w:szCs w:val="28"/>
        </w:rPr>
      </w:pPr>
      <w:r w:rsidRPr="005E17E4">
        <w:rPr>
          <w:rFonts w:ascii="Cambria" w:eastAsia="Times New Roman" w:hAnsi="Cambria" w:cs="Calibri Light"/>
          <w:b/>
          <w:bCs/>
          <w:sz w:val="28"/>
          <w:szCs w:val="28"/>
        </w:rPr>
        <w:t xml:space="preserve">Program szkolenia </w:t>
      </w:r>
    </w:p>
    <w:p w14:paraId="555CB543" w14:textId="00980519" w:rsidR="00E378A9" w:rsidRPr="005E17E4" w:rsidRDefault="006E701B" w:rsidP="00E378A9">
      <w:pPr>
        <w:spacing w:after="160" w:line="259" w:lineRule="auto"/>
        <w:jc w:val="center"/>
        <w:rPr>
          <w:rFonts w:ascii="Cambria" w:eastAsia="Times New Roman" w:hAnsi="Cambria" w:cs="Calibri Light"/>
          <w:b/>
          <w:bCs/>
          <w:sz w:val="28"/>
          <w:szCs w:val="28"/>
        </w:rPr>
      </w:pPr>
      <w:r w:rsidRPr="005E17E4">
        <w:rPr>
          <w:rFonts w:ascii="Cambria" w:eastAsia="Times New Roman" w:hAnsi="Cambria" w:cs="Calibri Light"/>
          <w:b/>
          <w:bCs/>
          <w:sz w:val="28"/>
          <w:szCs w:val="28"/>
        </w:rPr>
        <w:t>„Otwartość, równość i zrozumienie w relacji nauczyciel-student/doktorant”</w:t>
      </w:r>
    </w:p>
    <w:p w14:paraId="60A2AE3E" w14:textId="049F01B8" w:rsidR="00E378A9" w:rsidRPr="005E17E4" w:rsidRDefault="00E378A9" w:rsidP="00E378A9">
      <w:pPr>
        <w:autoSpaceDN w:val="0"/>
        <w:spacing w:after="0"/>
        <w:ind w:firstLine="708"/>
        <w:jc w:val="center"/>
        <w:rPr>
          <w:rFonts w:ascii="Cambria" w:eastAsia="Times New Roman" w:hAnsi="Cambria" w:cs="Calibri Light"/>
          <w:b/>
          <w:sz w:val="24"/>
          <w:szCs w:val="24"/>
          <w:lang w:eastAsia="pl-PL"/>
        </w:rPr>
      </w:pPr>
      <w:r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>Katowice, 30 czerwca 2022 r.</w:t>
      </w:r>
      <w:r w:rsidR="006E701B" w:rsidRPr="005E17E4">
        <w:rPr>
          <w:rFonts w:ascii="Cambria" w:eastAsia="Times New Roman" w:hAnsi="Cambria" w:cs="Calibri Light"/>
          <w:b/>
          <w:sz w:val="24"/>
          <w:szCs w:val="24"/>
          <w:lang w:eastAsia="pl-PL"/>
        </w:rPr>
        <w:t>, godz. 10:00-15:00</w:t>
      </w:r>
    </w:p>
    <w:p w14:paraId="1D9C7258" w14:textId="4BFC57FF" w:rsidR="00C967AD" w:rsidRPr="00A23F49" w:rsidRDefault="00C967AD" w:rsidP="00A11C1D">
      <w:pPr>
        <w:rPr>
          <w:rFonts w:ascii="Calibri Light" w:hAnsi="Calibri Light" w:cs="Calibri Light"/>
          <w:sz w:val="28"/>
          <w:szCs w:val="28"/>
        </w:rPr>
      </w:pPr>
    </w:p>
    <w:p w14:paraId="74CBF4B5" w14:textId="77777777" w:rsidR="00E378A9" w:rsidRPr="005E17E4" w:rsidRDefault="00E378A9" w:rsidP="00E378A9">
      <w:pPr>
        <w:spacing w:after="0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 xml:space="preserve">Liczba uczestników szkolenia: </w:t>
      </w:r>
      <w:r w:rsidRPr="005E17E4">
        <w:rPr>
          <w:rFonts w:ascii="Cambria" w:hAnsi="Cambria" w:cs="Calibri Light"/>
          <w:b/>
          <w:bCs/>
          <w:sz w:val="24"/>
          <w:szCs w:val="24"/>
        </w:rPr>
        <w:t>15 osób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2AC8B6CB" w14:textId="7FA4A934" w:rsidR="00E378A9" w:rsidRPr="005E17E4" w:rsidRDefault="00E378A9" w:rsidP="00E378A9">
      <w:pPr>
        <w:spacing w:after="0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 xml:space="preserve">Trener prowadzący: </w:t>
      </w:r>
      <w:r w:rsidRPr="005E17E4">
        <w:rPr>
          <w:rFonts w:ascii="Cambria" w:hAnsi="Cambria" w:cs="Calibri Light"/>
          <w:b/>
          <w:bCs/>
          <w:sz w:val="24"/>
          <w:szCs w:val="24"/>
        </w:rPr>
        <w:t>dr hab. Agnieszka Bielska-Brodziak, prof. UŚ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61508E20" w14:textId="77777777" w:rsidR="00E378A9" w:rsidRPr="005E17E4" w:rsidRDefault="00E378A9" w:rsidP="00E378A9">
      <w:pPr>
        <w:autoSpaceDN w:val="0"/>
        <w:ind w:firstLine="708"/>
        <w:jc w:val="center"/>
        <w:rPr>
          <w:rFonts w:ascii="Cambria" w:hAnsi="Cambria" w:cs="Calibri Light"/>
          <w:b/>
          <w:sz w:val="24"/>
          <w:szCs w:val="24"/>
        </w:rPr>
      </w:pPr>
    </w:p>
    <w:p w14:paraId="6C2E0744" w14:textId="57D8E02B" w:rsidR="00A639C2" w:rsidRPr="005E17E4" w:rsidRDefault="00AE4140" w:rsidP="00B47368">
      <w:pPr>
        <w:tabs>
          <w:tab w:val="left" w:pos="1260"/>
        </w:tabs>
        <w:autoSpaceDN w:val="0"/>
        <w:spacing w:before="120" w:after="100"/>
        <w:ind w:left="1259" w:hanging="1259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b/>
          <w:sz w:val="24"/>
          <w:szCs w:val="24"/>
        </w:rPr>
        <w:t>10.00-10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Pr="005E17E4">
        <w:rPr>
          <w:rFonts w:ascii="Cambria" w:hAnsi="Cambria" w:cs="Calibri Light"/>
          <w:b/>
          <w:sz w:val="24"/>
          <w:szCs w:val="24"/>
        </w:rPr>
        <w:t>30</w:t>
      </w:r>
      <w:r w:rsidR="00A639C2" w:rsidRPr="005E17E4">
        <w:rPr>
          <w:rFonts w:ascii="Cambria" w:hAnsi="Cambria" w:cs="Calibri Light"/>
          <w:sz w:val="24"/>
          <w:szCs w:val="24"/>
        </w:rPr>
        <w:tab/>
        <w:t xml:space="preserve">Wprowadzenie </w:t>
      </w:r>
      <w:r w:rsidR="006E701B" w:rsidRPr="005E17E4">
        <w:rPr>
          <w:rFonts w:ascii="Cambria" w:hAnsi="Cambria" w:cs="Calibri Light"/>
          <w:sz w:val="24"/>
          <w:szCs w:val="24"/>
        </w:rPr>
        <w:t>(</w:t>
      </w:r>
      <w:r w:rsidR="00A3520E">
        <w:rPr>
          <w:rFonts w:ascii="Cambria" w:hAnsi="Cambria" w:cs="Calibri Light"/>
          <w:sz w:val="24"/>
          <w:szCs w:val="24"/>
        </w:rPr>
        <w:t xml:space="preserve">1. </w:t>
      </w:r>
      <w:r w:rsidR="00B47368" w:rsidRPr="005E17E4">
        <w:rPr>
          <w:rFonts w:ascii="Cambria" w:hAnsi="Cambria" w:cs="Calibri Light"/>
          <w:sz w:val="24"/>
          <w:szCs w:val="24"/>
        </w:rPr>
        <w:t>zapoznanie się uczestników</w:t>
      </w:r>
      <w:r w:rsidR="00A639C2" w:rsidRPr="005E17E4">
        <w:rPr>
          <w:rFonts w:ascii="Cambria" w:hAnsi="Cambria" w:cs="Calibri Light"/>
          <w:sz w:val="24"/>
          <w:szCs w:val="24"/>
        </w:rPr>
        <w:t>,</w:t>
      </w:r>
      <w:r w:rsidR="00A3520E">
        <w:rPr>
          <w:rFonts w:ascii="Cambria" w:hAnsi="Cambria" w:cs="Calibri Light"/>
          <w:sz w:val="24"/>
          <w:szCs w:val="24"/>
        </w:rPr>
        <w:t xml:space="preserve"> 2. </w:t>
      </w:r>
      <w:r w:rsidR="005E17E4">
        <w:rPr>
          <w:rFonts w:ascii="Cambria" w:hAnsi="Cambria" w:cs="Calibri Light"/>
          <w:sz w:val="24"/>
          <w:szCs w:val="24"/>
        </w:rPr>
        <w:t>kontrakt</w:t>
      </w:r>
      <w:r w:rsidR="00A3520E">
        <w:rPr>
          <w:rFonts w:ascii="Cambria" w:hAnsi="Cambria" w:cs="Calibri Light"/>
          <w:sz w:val="24"/>
          <w:szCs w:val="24"/>
        </w:rPr>
        <w:t>,</w:t>
      </w:r>
      <w:r w:rsidR="005E17E4">
        <w:rPr>
          <w:rFonts w:ascii="Cambria" w:hAnsi="Cambria" w:cs="Calibri Light"/>
          <w:sz w:val="24"/>
          <w:szCs w:val="24"/>
        </w:rPr>
        <w:t xml:space="preserve"> </w:t>
      </w:r>
      <w:r w:rsidR="00A3520E">
        <w:rPr>
          <w:rFonts w:ascii="Cambria" w:hAnsi="Cambria" w:cs="Calibri Light"/>
          <w:sz w:val="24"/>
          <w:szCs w:val="24"/>
        </w:rPr>
        <w:t xml:space="preserve">3. </w:t>
      </w:r>
      <w:r w:rsidR="006E701B" w:rsidRPr="005E17E4">
        <w:rPr>
          <w:rFonts w:ascii="Cambria" w:hAnsi="Cambria" w:cs="Calibri Light"/>
          <w:sz w:val="24"/>
          <w:szCs w:val="24"/>
        </w:rPr>
        <w:t xml:space="preserve">czy </w:t>
      </w:r>
      <w:r w:rsidR="00A639C2" w:rsidRPr="005E17E4">
        <w:rPr>
          <w:rFonts w:ascii="Cambria" w:hAnsi="Cambria" w:cs="Calibri Light"/>
          <w:sz w:val="24"/>
          <w:szCs w:val="24"/>
        </w:rPr>
        <w:t>równo</w:t>
      </w:r>
      <w:r w:rsidR="00B47368" w:rsidRPr="005E17E4">
        <w:rPr>
          <w:rFonts w:ascii="Cambria" w:hAnsi="Cambria" w:cs="Calibri Light"/>
          <w:sz w:val="24"/>
          <w:szCs w:val="24"/>
        </w:rPr>
        <w:t>ść, otwartość i zrozumienie to wartości</w:t>
      </w:r>
      <w:r w:rsidR="00A3520E">
        <w:rPr>
          <w:rFonts w:ascii="Cambria" w:hAnsi="Cambria" w:cs="Calibri Light"/>
          <w:sz w:val="24"/>
          <w:szCs w:val="24"/>
        </w:rPr>
        <w:t>, które powinny być</w:t>
      </w:r>
      <w:r w:rsidR="00A639C2" w:rsidRPr="005E17E4">
        <w:rPr>
          <w:rFonts w:ascii="Cambria" w:hAnsi="Cambria" w:cs="Calibri Light"/>
          <w:sz w:val="24"/>
          <w:szCs w:val="24"/>
        </w:rPr>
        <w:t xml:space="preserve"> ważne w relacjach akademickich</w:t>
      </w:r>
      <w:r w:rsidR="00A3520E">
        <w:rPr>
          <w:rFonts w:ascii="Cambria" w:hAnsi="Cambria" w:cs="Calibri Light"/>
          <w:sz w:val="24"/>
          <w:szCs w:val="24"/>
        </w:rPr>
        <w:t>?</w:t>
      </w:r>
      <w:r w:rsidR="00A639C2" w:rsidRPr="005E17E4">
        <w:rPr>
          <w:rFonts w:ascii="Cambria" w:hAnsi="Cambria" w:cs="Calibri Light"/>
          <w:sz w:val="24"/>
          <w:szCs w:val="24"/>
        </w:rPr>
        <w:t>)</w:t>
      </w:r>
    </w:p>
    <w:p w14:paraId="776F05C3" w14:textId="140F548E" w:rsidR="00534EC2" w:rsidRPr="005E17E4" w:rsidRDefault="006E701B" w:rsidP="00A639C2">
      <w:pPr>
        <w:tabs>
          <w:tab w:val="left" w:pos="1260"/>
        </w:tabs>
        <w:autoSpaceDN w:val="0"/>
        <w:spacing w:before="12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b/>
          <w:sz w:val="24"/>
          <w:szCs w:val="24"/>
        </w:rPr>
        <w:t>10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="00A3520E">
        <w:rPr>
          <w:rFonts w:ascii="Cambria" w:hAnsi="Cambria" w:cs="Calibri Light"/>
          <w:b/>
          <w:sz w:val="24"/>
          <w:szCs w:val="24"/>
        </w:rPr>
        <w:t>30-11.15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</w:r>
      <w:r w:rsidR="00A639C2" w:rsidRPr="005E17E4">
        <w:rPr>
          <w:rFonts w:ascii="Cambria" w:hAnsi="Cambria" w:cs="Calibri Light"/>
          <w:sz w:val="24"/>
          <w:szCs w:val="24"/>
        </w:rPr>
        <w:t>Regulacje prawne dotyczące równości</w:t>
      </w:r>
      <w:r w:rsidR="005E17E4" w:rsidRPr="005E17E4">
        <w:rPr>
          <w:rFonts w:ascii="Cambria" w:hAnsi="Cambria" w:cs="Calibri Light"/>
          <w:sz w:val="24"/>
          <w:szCs w:val="24"/>
        </w:rPr>
        <w:t>,</w:t>
      </w:r>
      <w:r w:rsidRPr="005E17E4">
        <w:rPr>
          <w:rFonts w:ascii="Cambria" w:hAnsi="Cambria" w:cs="Calibri Light"/>
          <w:sz w:val="24"/>
          <w:szCs w:val="24"/>
        </w:rPr>
        <w:t xml:space="preserve"> </w:t>
      </w:r>
      <w:r w:rsidR="00623257" w:rsidRPr="005E17E4">
        <w:rPr>
          <w:rFonts w:ascii="Cambria" w:hAnsi="Cambria" w:cs="Calibri Light"/>
          <w:sz w:val="24"/>
          <w:szCs w:val="24"/>
        </w:rPr>
        <w:t xml:space="preserve">istotne z perspektywy relacji </w:t>
      </w:r>
      <w:r w:rsidRPr="005E17E4">
        <w:rPr>
          <w:rFonts w:ascii="Cambria" w:hAnsi="Cambria" w:cs="Calibri Light"/>
          <w:sz w:val="24"/>
          <w:szCs w:val="24"/>
        </w:rPr>
        <w:t>nauczyciel-student/doktorant</w:t>
      </w:r>
      <w:r w:rsidR="00534EC2" w:rsidRPr="005E17E4">
        <w:rPr>
          <w:rFonts w:ascii="Cambria" w:hAnsi="Cambria" w:cs="Calibri Light"/>
          <w:sz w:val="24"/>
          <w:szCs w:val="24"/>
        </w:rPr>
        <w:t xml:space="preserve">. </w:t>
      </w:r>
    </w:p>
    <w:p w14:paraId="3CD99ED5" w14:textId="08FB4A0D" w:rsidR="00A639C2" w:rsidRPr="005E17E4" w:rsidRDefault="00534EC2" w:rsidP="00534EC2">
      <w:pPr>
        <w:tabs>
          <w:tab w:val="left" w:pos="1260"/>
        </w:tabs>
        <w:autoSpaceDN w:val="0"/>
        <w:spacing w:before="120" w:after="100"/>
        <w:ind w:left="1276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sz w:val="24"/>
          <w:szCs w:val="24"/>
        </w:rPr>
        <w:t>Równość na Uniwersytecie Śląskim (obecne i wdrażane rozwiązania)</w:t>
      </w:r>
      <w:r w:rsidR="002B21CE">
        <w:rPr>
          <w:rFonts w:ascii="Cambria" w:hAnsi="Cambria" w:cs="Calibri Light"/>
          <w:sz w:val="24"/>
          <w:szCs w:val="24"/>
        </w:rPr>
        <w:t>,</w:t>
      </w:r>
      <w:r w:rsidR="005E17E4" w:rsidRPr="005E17E4">
        <w:rPr>
          <w:rFonts w:ascii="Cambria" w:hAnsi="Cambria" w:cs="Calibri Light"/>
          <w:sz w:val="24"/>
          <w:szCs w:val="24"/>
        </w:rPr>
        <w:t xml:space="preserve"> </w:t>
      </w:r>
      <w:r w:rsidR="00A22098">
        <w:rPr>
          <w:rFonts w:ascii="Cambria" w:hAnsi="Cambria" w:cs="Calibri Light"/>
          <w:sz w:val="24"/>
          <w:szCs w:val="24"/>
        </w:rPr>
        <w:t>czyli o możliwych ścieżkach działań</w:t>
      </w:r>
      <w:r w:rsidR="00A3520E">
        <w:rPr>
          <w:rFonts w:ascii="Cambria" w:hAnsi="Cambria" w:cs="Calibri Light"/>
          <w:sz w:val="24"/>
          <w:szCs w:val="24"/>
        </w:rPr>
        <w:t>,</w:t>
      </w:r>
      <w:r w:rsidR="005E17E4" w:rsidRPr="005E17E4">
        <w:rPr>
          <w:rFonts w:ascii="Cambria" w:hAnsi="Cambria" w:cs="Calibri Light"/>
          <w:sz w:val="24"/>
          <w:szCs w:val="24"/>
        </w:rPr>
        <w:t xml:space="preserve"> </w:t>
      </w:r>
      <w:r w:rsidRPr="005E17E4">
        <w:rPr>
          <w:rFonts w:ascii="Cambria" w:hAnsi="Cambria" w:cs="Calibri Light"/>
          <w:sz w:val="24"/>
          <w:szCs w:val="24"/>
        </w:rPr>
        <w:t>gdy doświadczam</w:t>
      </w:r>
      <w:r w:rsidR="002B21CE">
        <w:rPr>
          <w:rFonts w:ascii="Cambria" w:hAnsi="Cambria" w:cs="Calibri Light"/>
          <w:sz w:val="24"/>
          <w:szCs w:val="24"/>
        </w:rPr>
        <w:t>/</w:t>
      </w:r>
      <w:r w:rsidRPr="005E17E4">
        <w:rPr>
          <w:rFonts w:ascii="Cambria" w:hAnsi="Cambria" w:cs="Calibri Light"/>
          <w:sz w:val="24"/>
          <w:szCs w:val="24"/>
        </w:rPr>
        <w:t>jestem świadkiem naru</w:t>
      </w:r>
      <w:r w:rsidR="005E17E4" w:rsidRPr="005E17E4">
        <w:rPr>
          <w:rFonts w:ascii="Cambria" w:hAnsi="Cambria" w:cs="Calibri Light"/>
          <w:sz w:val="24"/>
          <w:szCs w:val="24"/>
        </w:rPr>
        <w:t>szeń albo gdy dopuszczam się naruszeń.</w:t>
      </w:r>
    </w:p>
    <w:p w14:paraId="03AF3736" w14:textId="000D39B5" w:rsidR="00A639C2" w:rsidRPr="005E17E4" w:rsidRDefault="00A3520E" w:rsidP="00A639C2">
      <w:pPr>
        <w:tabs>
          <w:tab w:val="left" w:pos="1260"/>
        </w:tabs>
        <w:autoSpaceDN w:val="0"/>
        <w:spacing w:before="12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11.15-11.25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>Przerwa</w:t>
      </w:r>
    </w:p>
    <w:p w14:paraId="707A40E3" w14:textId="764929D9" w:rsidR="00A22098" w:rsidRDefault="00A3520E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11.25</w:t>
      </w:r>
      <w:r w:rsidR="006E701B" w:rsidRPr="005E17E4">
        <w:rPr>
          <w:rFonts w:ascii="Cambria" w:hAnsi="Cambria" w:cs="Calibri Light"/>
          <w:b/>
          <w:sz w:val="24"/>
          <w:szCs w:val="24"/>
        </w:rPr>
        <w:t>-13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>
        <w:rPr>
          <w:rFonts w:ascii="Cambria" w:hAnsi="Cambria" w:cs="Calibri Light"/>
          <w:b/>
          <w:sz w:val="24"/>
          <w:szCs w:val="24"/>
        </w:rPr>
        <w:t>10</w:t>
      </w:r>
      <w:r w:rsidR="00A639C2" w:rsidRPr="005E17E4">
        <w:rPr>
          <w:rFonts w:ascii="Cambria" w:hAnsi="Cambria" w:cs="Calibri Light"/>
          <w:sz w:val="24"/>
          <w:szCs w:val="24"/>
        </w:rPr>
        <w:tab/>
        <w:t>Co przeszkadza nam w osiąganiu równości, otwartości i zrozumienia w relacjach</w:t>
      </w:r>
      <w:r w:rsidR="006E701B" w:rsidRPr="005E17E4">
        <w:rPr>
          <w:rFonts w:ascii="Cambria" w:hAnsi="Cambria" w:cs="Calibri Light"/>
          <w:sz w:val="24"/>
          <w:szCs w:val="24"/>
        </w:rPr>
        <w:t xml:space="preserve"> nauczyciel-student/doktorant</w:t>
      </w:r>
      <w:r>
        <w:rPr>
          <w:rFonts w:ascii="Cambria" w:hAnsi="Cambria" w:cs="Calibri Light"/>
          <w:sz w:val="24"/>
          <w:szCs w:val="24"/>
        </w:rPr>
        <w:t>?</w:t>
      </w:r>
      <w:r w:rsidR="00A639C2" w:rsidRPr="005E17E4">
        <w:rPr>
          <w:rFonts w:ascii="Cambria" w:hAnsi="Cambria" w:cs="Calibri Light"/>
          <w:sz w:val="24"/>
          <w:szCs w:val="24"/>
        </w:rPr>
        <w:t xml:space="preserve"> </w:t>
      </w:r>
    </w:p>
    <w:p w14:paraId="47963FDD" w14:textId="76793F03" w:rsidR="00A22098" w:rsidRPr="00A22098" w:rsidRDefault="00A22098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ab/>
        <w:t xml:space="preserve">  </w:t>
      </w:r>
      <w:r w:rsidRPr="00A22098">
        <w:rPr>
          <w:rFonts w:ascii="Cambria" w:hAnsi="Cambria" w:cs="Calibri Light"/>
          <w:sz w:val="24"/>
          <w:szCs w:val="24"/>
        </w:rPr>
        <w:tab/>
        <w:t>Czy to</w:t>
      </w:r>
      <w:r w:rsidR="00967549">
        <w:rPr>
          <w:rFonts w:ascii="Cambria" w:hAnsi="Cambria" w:cs="Calibri Light"/>
          <w:sz w:val="24"/>
          <w:szCs w:val="24"/>
        </w:rPr>
        <w:t>,</w:t>
      </w:r>
      <w:r w:rsidRPr="00A22098">
        <w:rPr>
          <w:rFonts w:ascii="Cambria" w:hAnsi="Cambria" w:cs="Calibri Light"/>
          <w:sz w:val="24"/>
          <w:szCs w:val="24"/>
        </w:rPr>
        <w:t xml:space="preserve"> co powstaje między nauczycielem a studentem/doktorantem w procesie uczenia się to relacja równościowa czy skośna?</w:t>
      </w:r>
    </w:p>
    <w:p w14:paraId="209658EC" w14:textId="77777777" w:rsidR="00104C70" w:rsidRDefault="00A22098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22098">
        <w:rPr>
          <w:rFonts w:ascii="Cambria" w:hAnsi="Cambria" w:cs="Calibri Light"/>
          <w:sz w:val="24"/>
          <w:szCs w:val="24"/>
        </w:rPr>
        <w:tab/>
      </w:r>
      <w:r w:rsidRPr="00A22098">
        <w:rPr>
          <w:rFonts w:ascii="Cambria" w:hAnsi="Cambria" w:cs="Calibri Light"/>
          <w:sz w:val="24"/>
          <w:szCs w:val="24"/>
        </w:rPr>
        <w:tab/>
        <w:t xml:space="preserve">Racja czy relacja? – granice </w:t>
      </w:r>
      <w:r>
        <w:rPr>
          <w:rFonts w:ascii="Cambria" w:hAnsi="Cambria" w:cs="Calibri Light"/>
          <w:sz w:val="24"/>
          <w:szCs w:val="24"/>
        </w:rPr>
        <w:t xml:space="preserve">władzy, granice wolności. </w:t>
      </w:r>
      <w:r w:rsidRPr="00A22098">
        <w:rPr>
          <w:rFonts w:ascii="Cambria" w:hAnsi="Cambria" w:cs="Calibri Light"/>
          <w:sz w:val="24"/>
          <w:szCs w:val="24"/>
        </w:rPr>
        <w:tab/>
      </w:r>
    </w:p>
    <w:p w14:paraId="6A1CE6BC" w14:textId="24735EB0" w:rsidR="00A22098" w:rsidRPr="00A22098" w:rsidRDefault="00104C70" w:rsidP="00A22098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  <w:t>Równość w relacji student/nauczyciel, a równość wszystkich członków grupy</w:t>
      </w:r>
      <w:r w:rsidR="00967549">
        <w:rPr>
          <w:rFonts w:ascii="Cambria" w:hAnsi="Cambria" w:cs="Calibri Light"/>
          <w:sz w:val="24"/>
          <w:szCs w:val="24"/>
        </w:rPr>
        <w:t>.</w:t>
      </w:r>
      <w:r w:rsidR="00A22098" w:rsidRPr="00A22098">
        <w:rPr>
          <w:rFonts w:ascii="Cambria" w:hAnsi="Cambria" w:cs="Calibri Light"/>
          <w:sz w:val="24"/>
          <w:szCs w:val="24"/>
        </w:rPr>
        <w:tab/>
      </w:r>
    </w:p>
    <w:p w14:paraId="73E5C052" w14:textId="47EAC059" w:rsidR="00A639C2" w:rsidRPr="005E17E4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ab/>
      </w:r>
      <w:r w:rsidR="00A639C2" w:rsidRPr="00A3520E">
        <w:rPr>
          <w:rFonts w:ascii="Cambria" w:hAnsi="Cambria" w:cs="Calibri Light"/>
          <w:i/>
          <w:sz w:val="24"/>
          <w:szCs w:val="24"/>
        </w:rPr>
        <w:t>Praca na kazusach</w:t>
      </w:r>
      <w:r w:rsidR="006E701B" w:rsidRPr="005E17E4">
        <w:rPr>
          <w:rFonts w:ascii="Cambria" w:hAnsi="Cambria" w:cs="Calibri Light"/>
          <w:sz w:val="24"/>
          <w:szCs w:val="24"/>
        </w:rPr>
        <w:t>.</w:t>
      </w:r>
    </w:p>
    <w:p w14:paraId="50100259" w14:textId="0BBB1290" w:rsidR="00A639C2" w:rsidRPr="005E17E4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13.</w:t>
      </w:r>
      <w:r w:rsidR="00A3520E">
        <w:rPr>
          <w:rFonts w:ascii="Cambria" w:hAnsi="Cambria" w:cs="Calibri Light"/>
          <w:b/>
          <w:sz w:val="24"/>
          <w:szCs w:val="24"/>
        </w:rPr>
        <w:t>10</w:t>
      </w:r>
      <w:r w:rsidR="006E701B" w:rsidRPr="005E17E4">
        <w:rPr>
          <w:rFonts w:ascii="Cambria" w:hAnsi="Cambria" w:cs="Calibri Light"/>
          <w:b/>
          <w:sz w:val="24"/>
          <w:szCs w:val="24"/>
        </w:rPr>
        <w:t>-13</w:t>
      </w:r>
      <w:r w:rsidR="00A3520E">
        <w:rPr>
          <w:rFonts w:ascii="Cambria" w:hAnsi="Cambria" w:cs="Calibri Light"/>
          <w:b/>
          <w:sz w:val="24"/>
          <w:szCs w:val="24"/>
        </w:rPr>
        <w:t>.20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>Przerwa</w:t>
      </w:r>
    </w:p>
    <w:p w14:paraId="515B5A31" w14:textId="70C6272B" w:rsidR="00A22098" w:rsidRPr="00A22098" w:rsidRDefault="00A22098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22098">
        <w:rPr>
          <w:rFonts w:ascii="Cambria" w:hAnsi="Cambria" w:cs="Calibri Light"/>
          <w:b/>
          <w:sz w:val="24"/>
          <w:szCs w:val="24"/>
        </w:rPr>
        <w:t>13.</w:t>
      </w:r>
      <w:r w:rsidR="00A3520E">
        <w:rPr>
          <w:rFonts w:ascii="Cambria" w:hAnsi="Cambria" w:cs="Calibri Light"/>
          <w:b/>
          <w:sz w:val="24"/>
          <w:szCs w:val="24"/>
        </w:rPr>
        <w:t>20</w:t>
      </w:r>
      <w:r w:rsidR="006E701B" w:rsidRPr="00A22098">
        <w:rPr>
          <w:rFonts w:ascii="Cambria" w:hAnsi="Cambria" w:cs="Calibri Light"/>
          <w:b/>
          <w:sz w:val="24"/>
          <w:szCs w:val="24"/>
        </w:rPr>
        <w:t>-14</w:t>
      </w:r>
      <w:r w:rsidR="00A639C2" w:rsidRPr="00A22098">
        <w:rPr>
          <w:rFonts w:ascii="Cambria" w:hAnsi="Cambria" w:cs="Calibri Light"/>
          <w:b/>
          <w:sz w:val="24"/>
          <w:szCs w:val="24"/>
        </w:rPr>
        <w:t>.</w:t>
      </w:r>
      <w:r w:rsidR="00A23F49" w:rsidRPr="00A22098">
        <w:rPr>
          <w:rFonts w:ascii="Cambria" w:hAnsi="Cambria" w:cs="Calibri Light"/>
          <w:b/>
          <w:sz w:val="24"/>
          <w:szCs w:val="24"/>
        </w:rPr>
        <w:t>4</w:t>
      </w:r>
      <w:r w:rsidR="00A3520E">
        <w:rPr>
          <w:rFonts w:ascii="Cambria" w:hAnsi="Cambria" w:cs="Calibri Light"/>
          <w:b/>
          <w:sz w:val="24"/>
          <w:szCs w:val="24"/>
        </w:rPr>
        <w:t>0</w:t>
      </w:r>
      <w:r w:rsidR="00A639C2" w:rsidRPr="00A22098">
        <w:rPr>
          <w:rFonts w:ascii="Cambria" w:hAnsi="Cambria" w:cs="Calibri Light"/>
          <w:sz w:val="24"/>
          <w:szCs w:val="24"/>
        </w:rPr>
        <w:tab/>
      </w:r>
      <w:r w:rsidR="00A639C2" w:rsidRPr="00A22098"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>Struktura współpracy i</w:t>
      </w:r>
      <w:r w:rsidRPr="00A22098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komunikacja</w:t>
      </w:r>
      <w:r w:rsidRPr="00A22098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 xml:space="preserve">jako </w:t>
      </w:r>
      <w:r w:rsidRPr="00A22098">
        <w:rPr>
          <w:rFonts w:ascii="Cambria" w:hAnsi="Cambria" w:cs="Calibri Light"/>
          <w:sz w:val="24"/>
          <w:szCs w:val="24"/>
        </w:rPr>
        <w:t>dwa pola</w:t>
      </w:r>
      <w:r w:rsidR="00A639C2" w:rsidRPr="00A22098">
        <w:rPr>
          <w:rFonts w:ascii="Cambria" w:hAnsi="Cambria" w:cs="Calibri Light"/>
          <w:sz w:val="24"/>
          <w:szCs w:val="24"/>
        </w:rPr>
        <w:t xml:space="preserve"> wdrażania</w:t>
      </w:r>
      <w:r w:rsidR="006E701B" w:rsidRPr="00A22098">
        <w:rPr>
          <w:rFonts w:ascii="Cambria" w:hAnsi="Cambria" w:cs="Calibri Light"/>
          <w:sz w:val="24"/>
          <w:szCs w:val="24"/>
        </w:rPr>
        <w:t xml:space="preserve"> i utrzymania</w:t>
      </w:r>
      <w:r>
        <w:rPr>
          <w:rFonts w:ascii="Cambria" w:hAnsi="Cambria" w:cs="Calibri Light"/>
          <w:sz w:val="24"/>
          <w:szCs w:val="24"/>
        </w:rPr>
        <w:t xml:space="preserve"> otwartości, równości i</w:t>
      </w:r>
      <w:r w:rsidR="00A639C2" w:rsidRPr="00A22098">
        <w:rPr>
          <w:rFonts w:ascii="Cambria" w:hAnsi="Cambria" w:cs="Calibri Light"/>
          <w:sz w:val="24"/>
          <w:szCs w:val="24"/>
        </w:rPr>
        <w:t xml:space="preserve"> zroz</w:t>
      </w:r>
      <w:r w:rsidR="006E701B" w:rsidRPr="00A22098">
        <w:rPr>
          <w:rFonts w:ascii="Cambria" w:hAnsi="Cambria" w:cs="Calibri Light"/>
          <w:sz w:val="24"/>
          <w:szCs w:val="24"/>
        </w:rPr>
        <w:t>umienia w relacjach nauczyciel-student/doktorant</w:t>
      </w:r>
      <w:r w:rsidR="00A639C2" w:rsidRPr="00A22098">
        <w:rPr>
          <w:rFonts w:ascii="Cambria" w:hAnsi="Cambria" w:cs="Calibri Light"/>
          <w:sz w:val="24"/>
          <w:szCs w:val="24"/>
        </w:rPr>
        <w:t>.</w:t>
      </w:r>
    </w:p>
    <w:p w14:paraId="65D1D69B" w14:textId="16F234C9" w:rsidR="00D557CB" w:rsidRPr="00A3520E" w:rsidRDefault="00116519" w:rsidP="00116519">
      <w:pPr>
        <w:tabs>
          <w:tab w:val="left" w:pos="1260"/>
        </w:tabs>
        <w:autoSpaceDN w:val="0"/>
        <w:spacing w:before="100" w:after="100"/>
        <w:ind w:left="1410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 xml:space="preserve">STRUKTURA: </w:t>
      </w:r>
      <w:r w:rsidR="00D557CB" w:rsidRPr="00A3520E">
        <w:rPr>
          <w:rFonts w:ascii="Cambria" w:hAnsi="Cambria" w:cs="Calibri Light"/>
          <w:sz w:val="24"/>
          <w:szCs w:val="24"/>
        </w:rPr>
        <w:t>Sylabus jako kont</w:t>
      </w:r>
      <w:r w:rsidR="00967549">
        <w:rPr>
          <w:rFonts w:ascii="Cambria" w:hAnsi="Cambria" w:cs="Calibri Light"/>
          <w:sz w:val="24"/>
          <w:szCs w:val="24"/>
        </w:rPr>
        <w:t>rakt, który daje bezpieczeństwo, ogranicza nieprzewidywalność, umożliwia</w:t>
      </w:r>
      <w:r w:rsidR="00A3520E" w:rsidRPr="00A3520E">
        <w:rPr>
          <w:rFonts w:ascii="Cambria" w:hAnsi="Cambria" w:cs="Calibri Light"/>
          <w:sz w:val="24"/>
          <w:szCs w:val="24"/>
        </w:rPr>
        <w:t xml:space="preserve"> partnerskie traktowanie </w:t>
      </w:r>
      <w:r w:rsidR="00967549">
        <w:rPr>
          <w:rFonts w:ascii="Cambria" w:hAnsi="Cambria" w:cs="Calibri Light"/>
          <w:sz w:val="24"/>
          <w:szCs w:val="24"/>
        </w:rPr>
        <w:t xml:space="preserve">się </w:t>
      </w:r>
      <w:r w:rsidR="00D557CB" w:rsidRPr="00A3520E">
        <w:rPr>
          <w:rFonts w:ascii="Cambria" w:hAnsi="Cambria" w:cs="Calibri Light"/>
          <w:sz w:val="24"/>
          <w:szCs w:val="24"/>
        </w:rPr>
        <w:t>obu stronom.</w:t>
      </w:r>
    </w:p>
    <w:p w14:paraId="5C6EB1C4" w14:textId="180F1B9E" w:rsidR="00A3520E" w:rsidRPr="00A3520E" w:rsidRDefault="00D557CB" w:rsidP="00A3520E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A3520E">
        <w:rPr>
          <w:rFonts w:ascii="Cambria" w:hAnsi="Cambria" w:cs="Calibri Light"/>
          <w:sz w:val="24"/>
          <w:szCs w:val="24"/>
        </w:rPr>
        <w:lastRenderedPageBreak/>
        <w:tab/>
      </w:r>
      <w:r w:rsidR="00116519">
        <w:rPr>
          <w:rFonts w:ascii="Cambria" w:hAnsi="Cambria" w:cs="Calibri Light"/>
          <w:sz w:val="24"/>
          <w:szCs w:val="24"/>
        </w:rPr>
        <w:tab/>
      </w:r>
      <w:r w:rsidR="003D343A">
        <w:rPr>
          <w:rFonts w:ascii="Cambria" w:hAnsi="Cambria" w:cs="Calibri Light"/>
          <w:sz w:val="24"/>
          <w:szCs w:val="24"/>
        </w:rPr>
        <w:t>KOMUNIKACJA: *</w:t>
      </w:r>
      <w:r w:rsidR="009C2B3C">
        <w:rPr>
          <w:rFonts w:ascii="Cambria" w:hAnsi="Cambria" w:cs="Calibri Light"/>
          <w:sz w:val="24"/>
          <w:szCs w:val="24"/>
        </w:rPr>
        <w:t xml:space="preserve">Warunki </w:t>
      </w:r>
      <w:r w:rsidRPr="00A3520E">
        <w:rPr>
          <w:rFonts w:ascii="Cambria" w:hAnsi="Cambria" w:cs="Calibri Light"/>
          <w:sz w:val="24"/>
          <w:szCs w:val="24"/>
        </w:rPr>
        <w:t>równościowej, otwartej komunikacji</w:t>
      </w:r>
      <w:r w:rsidR="003D343A">
        <w:rPr>
          <w:rFonts w:ascii="Cambria" w:hAnsi="Cambria" w:cs="Calibri Light"/>
          <w:sz w:val="24"/>
          <w:szCs w:val="24"/>
        </w:rPr>
        <w:t>;</w:t>
      </w:r>
      <w:r w:rsidR="008A609D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*</w:t>
      </w:r>
      <w:r w:rsidR="00104C70">
        <w:rPr>
          <w:rFonts w:ascii="Cambria" w:hAnsi="Cambria" w:cs="Calibri Light"/>
          <w:sz w:val="24"/>
          <w:szCs w:val="24"/>
        </w:rPr>
        <w:t>kim staję się,</w:t>
      </w:r>
      <w:r w:rsidR="009C2B3C">
        <w:rPr>
          <w:rFonts w:ascii="Cambria" w:hAnsi="Cambria" w:cs="Calibri Light"/>
          <w:sz w:val="24"/>
          <w:szCs w:val="24"/>
        </w:rPr>
        <w:t xml:space="preserve"> kiedy uczę -</w:t>
      </w:r>
      <w:r w:rsidR="00EF3ED1">
        <w:rPr>
          <w:rFonts w:ascii="Cambria" w:hAnsi="Cambria" w:cs="Calibri Light"/>
          <w:sz w:val="24"/>
          <w:szCs w:val="24"/>
        </w:rPr>
        <w:t xml:space="preserve"> jaką rolę przyjmuję i czy jest ona zgodna z moimi </w:t>
      </w:r>
      <w:proofErr w:type="gramStart"/>
      <w:r w:rsidR="00EF3ED1">
        <w:rPr>
          <w:rFonts w:ascii="Cambria" w:hAnsi="Cambria" w:cs="Calibri Light"/>
          <w:sz w:val="24"/>
          <w:szCs w:val="24"/>
        </w:rPr>
        <w:t>wartościami</w:t>
      </w:r>
      <w:r w:rsidR="00967549">
        <w:rPr>
          <w:rFonts w:ascii="Cambria" w:hAnsi="Cambria" w:cs="Calibri Light"/>
          <w:sz w:val="24"/>
          <w:szCs w:val="24"/>
        </w:rPr>
        <w:t>?;</w:t>
      </w:r>
      <w:proofErr w:type="gramEnd"/>
      <w:r w:rsidR="00967549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*</w:t>
      </w:r>
      <w:r w:rsidRPr="00A3520E">
        <w:rPr>
          <w:rFonts w:ascii="Cambria" w:hAnsi="Cambria" w:cs="Calibri Light"/>
          <w:sz w:val="24"/>
          <w:szCs w:val="24"/>
        </w:rPr>
        <w:t>rozpoznawani</w:t>
      </w:r>
      <w:r w:rsidR="008A609D">
        <w:rPr>
          <w:rFonts w:ascii="Cambria" w:hAnsi="Cambria" w:cs="Calibri Light"/>
          <w:sz w:val="24"/>
          <w:szCs w:val="24"/>
        </w:rPr>
        <w:t xml:space="preserve">e własnego stanu emocjonalnego - </w:t>
      </w:r>
      <w:r w:rsidR="00A3520E" w:rsidRPr="00A3520E">
        <w:rPr>
          <w:rFonts w:ascii="Cambria" w:hAnsi="Cambria" w:cs="Calibri Light"/>
          <w:sz w:val="24"/>
          <w:szCs w:val="24"/>
        </w:rPr>
        <w:t>czy to co robię tu, pochodzi z „tu”</w:t>
      </w:r>
      <w:r w:rsidR="00A3520E">
        <w:rPr>
          <w:rFonts w:ascii="Cambria" w:hAnsi="Cambria" w:cs="Calibri Light"/>
          <w:sz w:val="24"/>
          <w:szCs w:val="24"/>
        </w:rPr>
        <w:t>?</w:t>
      </w:r>
      <w:r w:rsidR="00967549">
        <w:rPr>
          <w:rFonts w:ascii="Cambria" w:hAnsi="Cambria" w:cs="Calibri Light"/>
          <w:sz w:val="24"/>
          <w:szCs w:val="24"/>
        </w:rPr>
        <w:t>;</w:t>
      </w:r>
      <w:r w:rsidR="009C2B3C">
        <w:rPr>
          <w:rFonts w:ascii="Cambria" w:hAnsi="Cambria" w:cs="Calibri Light"/>
          <w:sz w:val="24"/>
          <w:szCs w:val="24"/>
        </w:rPr>
        <w:t xml:space="preserve"> </w:t>
      </w:r>
      <w:r w:rsidR="003D343A">
        <w:rPr>
          <w:rFonts w:ascii="Cambria" w:hAnsi="Cambria" w:cs="Calibri Light"/>
          <w:sz w:val="24"/>
          <w:szCs w:val="24"/>
        </w:rPr>
        <w:t>*</w:t>
      </w:r>
      <w:r w:rsidR="009C2B3C" w:rsidRPr="00A3520E">
        <w:rPr>
          <w:rFonts w:ascii="Cambria" w:hAnsi="Cambria" w:cs="Calibri Light"/>
          <w:sz w:val="24"/>
          <w:szCs w:val="24"/>
        </w:rPr>
        <w:t>komunikat „ja”</w:t>
      </w:r>
      <w:r w:rsidR="009C2B3C">
        <w:rPr>
          <w:rFonts w:ascii="Cambria" w:hAnsi="Cambria" w:cs="Calibri Light"/>
          <w:sz w:val="24"/>
          <w:szCs w:val="24"/>
        </w:rPr>
        <w:t>.</w:t>
      </w:r>
    </w:p>
    <w:p w14:paraId="1136F437" w14:textId="2EDA5FE9" w:rsidR="00A639C2" w:rsidRPr="009C2B3C" w:rsidRDefault="00A3520E" w:rsidP="00A3520E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i/>
          <w:sz w:val="24"/>
          <w:szCs w:val="24"/>
        </w:rPr>
      </w:pPr>
      <w:r w:rsidRPr="00A3520E">
        <w:rPr>
          <w:rFonts w:ascii="Cambria" w:hAnsi="Cambria" w:cs="Calibri Light"/>
          <w:sz w:val="24"/>
          <w:szCs w:val="24"/>
        </w:rPr>
        <w:tab/>
      </w:r>
      <w:r w:rsidR="008A609D">
        <w:rPr>
          <w:rFonts w:ascii="Cambria" w:hAnsi="Cambria" w:cs="Calibri Light"/>
          <w:sz w:val="24"/>
          <w:szCs w:val="24"/>
        </w:rPr>
        <w:tab/>
      </w:r>
      <w:r w:rsidR="00A639C2" w:rsidRPr="009C2B3C">
        <w:rPr>
          <w:rFonts w:ascii="Cambria" w:hAnsi="Cambria" w:cs="Calibri Light"/>
          <w:i/>
          <w:sz w:val="24"/>
          <w:szCs w:val="24"/>
        </w:rPr>
        <w:t>Praca warsztatowa w parach</w:t>
      </w:r>
      <w:r w:rsidR="006E701B" w:rsidRPr="009C2B3C">
        <w:rPr>
          <w:rFonts w:ascii="Cambria" w:hAnsi="Cambria" w:cs="Calibri Light"/>
          <w:i/>
          <w:sz w:val="24"/>
          <w:szCs w:val="24"/>
        </w:rPr>
        <w:t>.</w:t>
      </w:r>
      <w:r w:rsidR="009C2B3C" w:rsidRPr="009C2B3C">
        <w:rPr>
          <w:rFonts w:ascii="Cambria" w:hAnsi="Cambria" w:cs="Calibri Light"/>
          <w:i/>
          <w:sz w:val="24"/>
          <w:szCs w:val="24"/>
        </w:rPr>
        <w:t xml:space="preserve"> Omówienie wyników.</w:t>
      </w:r>
    </w:p>
    <w:p w14:paraId="04439A55" w14:textId="066BBC71" w:rsidR="00A639C2" w:rsidRPr="005E17E4" w:rsidRDefault="006E701B" w:rsidP="00A639C2">
      <w:pPr>
        <w:tabs>
          <w:tab w:val="left" w:pos="1260"/>
        </w:tabs>
        <w:autoSpaceDN w:val="0"/>
        <w:spacing w:before="100" w:after="100"/>
        <w:ind w:left="1410" w:hanging="1410"/>
        <w:jc w:val="both"/>
        <w:rPr>
          <w:rFonts w:ascii="Cambria" w:hAnsi="Cambria" w:cs="Calibri Light"/>
          <w:sz w:val="24"/>
          <w:szCs w:val="24"/>
        </w:rPr>
      </w:pPr>
      <w:r w:rsidRPr="005E17E4">
        <w:rPr>
          <w:rFonts w:ascii="Cambria" w:hAnsi="Cambria" w:cs="Calibri Light"/>
          <w:b/>
          <w:sz w:val="24"/>
          <w:szCs w:val="24"/>
        </w:rPr>
        <w:t>14</w:t>
      </w:r>
      <w:r w:rsidR="00A639C2" w:rsidRPr="005E17E4">
        <w:rPr>
          <w:rFonts w:ascii="Cambria" w:hAnsi="Cambria" w:cs="Calibri Light"/>
          <w:b/>
          <w:sz w:val="24"/>
          <w:szCs w:val="24"/>
        </w:rPr>
        <w:t>.</w:t>
      </w:r>
      <w:r w:rsidR="00A23F49" w:rsidRPr="005E17E4">
        <w:rPr>
          <w:rFonts w:ascii="Cambria" w:hAnsi="Cambria" w:cs="Calibri Light"/>
          <w:b/>
          <w:sz w:val="24"/>
          <w:szCs w:val="24"/>
        </w:rPr>
        <w:t>4</w:t>
      </w:r>
      <w:r w:rsidR="00A3520E">
        <w:rPr>
          <w:rFonts w:ascii="Cambria" w:hAnsi="Cambria" w:cs="Calibri Light"/>
          <w:b/>
          <w:sz w:val="24"/>
          <w:szCs w:val="24"/>
        </w:rPr>
        <w:t>0</w:t>
      </w:r>
      <w:r w:rsidRPr="005E17E4">
        <w:rPr>
          <w:rFonts w:ascii="Cambria" w:hAnsi="Cambria" w:cs="Calibri Light"/>
          <w:b/>
          <w:sz w:val="24"/>
          <w:szCs w:val="24"/>
        </w:rPr>
        <w:t>-15</w:t>
      </w:r>
      <w:r w:rsidR="00A639C2" w:rsidRPr="005E17E4">
        <w:rPr>
          <w:rFonts w:ascii="Cambria" w:hAnsi="Cambria" w:cs="Calibri Light"/>
          <w:b/>
          <w:sz w:val="24"/>
          <w:szCs w:val="24"/>
        </w:rPr>
        <w:t>.00</w:t>
      </w:r>
      <w:r w:rsidR="00A639C2" w:rsidRPr="005E17E4">
        <w:rPr>
          <w:rFonts w:ascii="Cambria" w:hAnsi="Cambria" w:cs="Calibri Light"/>
          <w:b/>
          <w:sz w:val="24"/>
          <w:szCs w:val="24"/>
        </w:rPr>
        <w:tab/>
        <w:t xml:space="preserve"> Podsumowanie szkolenia</w:t>
      </w:r>
      <w:r w:rsidR="00A22098">
        <w:rPr>
          <w:rFonts w:ascii="Cambria" w:hAnsi="Cambria" w:cs="Calibri Light"/>
          <w:b/>
          <w:sz w:val="24"/>
          <w:szCs w:val="24"/>
        </w:rPr>
        <w:t xml:space="preserve"> i zakończenie.</w:t>
      </w:r>
    </w:p>
    <w:p w14:paraId="696B193C" w14:textId="77777777" w:rsidR="00E378A9" w:rsidRDefault="00E378A9" w:rsidP="00A639C2">
      <w:pPr>
        <w:jc w:val="both"/>
        <w:rPr>
          <w:rFonts w:ascii="Cambria" w:hAnsi="Cambria" w:cs="Calibri Light"/>
          <w:sz w:val="24"/>
          <w:szCs w:val="24"/>
        </w:rPr>
      </w:pPr>
    </w:p>
    <w:p w14:paraId="1E022482" w14:textId="1EFDE510" w:rsidR="00121E32" w:rsidRPr="00121E32" w:rsidRDefault="00121E32" w:rsidP="00121E32">
      <w:pPr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Przerwy mają charakter orientacyjny – ich roz</w:t>
      </w:r>
      <w:bookmarkStart w:id="0" w:name="_GoBack"/>
      <w:bookmarkEnd w:id="0"/>
      <w:r>
        <w:rPr>
          <w:rFonts w:ascii="Cambria" w:hAnsi="Cambria" w:cs="Calibri Light"/>
          <w:sz w:val="24"/>
          <w:szCs w:val="24"/>
        </w:rPr>
        <w:t xml:space="preserve">poczęcie i długość dostosujemy do potrzeb grupy. </w:t>
      </w:r>
    </w:p>
    <w:p w14:paraId="0CD5BC81" w14:textId="77777777" w:rsidR="00E378A9" w:rsidRPr="005E17E4" w:rsidRDefault="00E378A9" w:rsidP="00A11C1D">
      <w:pPr>
        <w:rPr>
          <w:rFonts w:ascii="Cambria" w:hAnsi="Cambria" w:cs="Calibri Light"/>
          <w:sz w:val="24"/>
          <w:szCs w:val="24"/>
        </w:rPr>
      </w:pPr>
    </w:p>
    <w:sectPr w:rsidR="00E378A9" w:rsidRPr="005E17E4" w:rsidSect="00EC4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BAA8" w14:textId="77777777" w:rsidR="008707CD" w:rsidRDefault="008707CD" w:rsidP="00B30247">
      <w:pPr>
        <w:spacing w:after="0" w:line="240" w:lineRule="auto"/>
      </w:pPr>
      <w:r>
        <w:separator/>
      </w:r>
    </w:p>
  </w:endnote>
  <w:endnote w:type="continuationSeparator" w:id="0">
    <w:p w14:paraId="4CFA94DE" w14:textId="77777777" w:rsidR="008707CD" w:rsidRDefault="008707CD" w:rsidP="00B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E6FA" w14:textId="77777777" w:rsidR="00035889" w:rsidRDefault="00035889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88019"/>
      <w:docPartObj>
        <w:docPartGallery w:val="Page Numbers (Bottom of Page)"/>
        <w:docPartUnique/>
      </w:docPartObj>
    </w:sdtPr>
    <w:sdtEndPr/>
    <w:sdtContent>
      <w:p w14:paraId="31AED77C" w14:textId="77777777" w:rsidR="00035889" w:rsidRDefault="00035889">
        <w:pPr>
          <w:pStyle w:val="Stopka"/>
          <w:jc w:val="center"/>
        </w:pPr>
      </w:p>
      <w:tbl>
        <w:tblPr>
          <w:tblStyle w:val="Tabela-Siatka"/>
          <w:tblW w:w="68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13" w:type="dxa"/>
          </w:tblCellMar>
          <w:tblLook w:val="04A0" w:firstRow="1" w:lastRow="0" w:firstColumn="1" w:lastColumn="0" w:noHBand="0" w:noVBand="1"/>
        </w:tblPr>
        <w:tblGrid>
          <w:gridCol w:w="3402"/>
          <w:gridCol w:w="3402"/>
        </w:tblGrid>
        <w:tr w:rsidR="00035889" w:rsidRPr="004D16F1" w14:paraId="4498381E" w14:textId="77777777" w:rsidTr="00F069F1"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1B8D6F10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Centrum Obsługi Studentów</w:t>
              </w:r>
            </w:p>
            <w:p w14:paraId="1BEA8970" w14:textId="77777777" w:rsidR="00035889" w:rsidRPr="00FD5265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Uniwersytet Śląski w Katowicach</w:t>
              </w:r>
            </w:p>
            <w:p w14:paraId="0FA75240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  <w:r w:rsidRPr="00FD5265">
                <w:rPr>
                  <w:rFonts w:cstheme="minorHAnsi"/>
                  <w:color w:val="404040" w:themeColor="text1" w:themeTint="BF"/>
                  <w:sz w:val="18"/>
                  <w:szCs w:val="18"/>
                </w:rPr>
                <w:t>40–007 Katowice, ul. Bankowa 12</w:t>
              </w:r>
            </w:p>
          </w:tc>
          <w:tc>
            <w:tcPr>
              <w:tcW w:w="3402" w:type="dxa"/>
              <w:tcBorders>
                <w:top w:val="single" w:sz="12" w:space="0" w:color="808080" w:themeColor="background1" w:themeShade="80"/>
              </w:tcBorders>
            </w:tcPr>
            <w:p w14:paraId="210B1C72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  <w:r>
                <w:rPr>
                  <w:noProof/>
                  <w:color w:val="404040" w:themeColor="text1" w:themeTint="BF"/>
                  <w:sz w:val="18"/>
                  <w:szCs w:val="18"/>
                  <w:lang w:eastAsia="pl-PL"/>
                </w:rPr>
                <w:drawing>
                  <wp:inline distT="0" distB="0" distL="0" distR="0" wp14:anchorId="129EF66E" wp14:editId="77609EAB">
                    <wp:extent cx="1721104" cy="340995"/>
                    <wp:effectExtent l="0" t="0" r="0" b="1905"/>
                    <wp:docPr id="2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US_k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28055" cy="362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24F07EC" w14:textId="77777777" w:rsidR="00035889" w:rsidRDefault="00035889" w:rsidP="00F069F1">
              <w:pPr>
                <w:pStyle w:val="Stopka"/>
                <w:rPr>
                  <w:rFonts w:cstheme="minorHAnsi"/>
                  <w:color w:val="404040" w:themeColor="text1" w:themeTint="BF"/>
                  <w:sz w:val="18"/>
                  <w:szCs w:val="18"/>
                </w:rPr>
              </w:pPr>
            </w:p>
            <w:p w14:paraId="6CEFBFA6" w14:textId="77777777" w:rsidR="00035889" w:rsidRPr="004D16F1" w:rsidRDefault="00035889" w:rsidP="00F069F1">
              <w:pPr>
                <w:pStyle w:val="Stopka"/>
                <w:rPr>
                  <w:color w:val="404040" w:themeColor="text1" w:themeTint="BF"/>
                  <w:sz w:val="18"/>
                  <w:szCs w:val="18"/>
                </w:rPr>
              </w:pPr>
            </w:p>
          </w:tc>
        </w:tr>
      </w:tbl>
      <w:p w14:paraId="1EADB7A2" w14:textId="77777777" w:rsidR="000543CB" w:rsidRDefault="0045470B">
        <w:pPr>
          <w:pStyle w:val="Stopka"/>
          <w:jc w:val="center"/>
        </w:pPr>
        <w:r>
          <w:fldChar w:fldCharType="begin"/>
        </w:r>
        <w:r w:rsidR="000543CB">
          <w:instrText>PAGE   \* MERGEFORMAT</w:instrText>
        </w:r>
        <w:r>
          <w:fldChar w:fldCharType="separate"/>
        </w:r>
        <w:r w:rsidR="00121E32">
          <w:rPr>
            <w:noProof/>
          </w:rPr>
          <w:t>1</w:t>
        </w:r>
        <w:r>
          <w:fldChar w:fldCharType="end"/>
        </w:r>
      </w:p>
    </w:sdtContent>
  </w:sdt>
  <w:p w14:paraId="096A8870" w14:textId="77777777" w:rsidR="000543CB" w:rsidRPr="00C120FC" w:rsidRDefault="000543CB" w:rsidP="00C120FC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96B5E" w14:textId="77777777" w:rsidR="00035889" w:rsidRDefault="0003588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B79BF" w14:textId="77777777" w:rsidR="008707CD" w:rsidRDefault="008707CD" w:rsidP="00B30247">
      <w:pPr>
        <w:spacing w:after="0" w:line="240" w:lineRule="auto"/>
      </w:pPr>
      <w:r>
        <w:separator/>
      </w:r>
    </w:p>
  </w:footnote>
  <w:footnote w:type="continuationSeparator" w:id="0">
    <w:p w14:paraId="1EF799BD" w14:textId="77777777" w:rsidR="008707CD" w:rsidRDefault="008707CD" w:rsidP="00B3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871A" w14:textId="77777777" w:rsidR="00035889" w:rsidRDefault="00035889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B034" w14:textId="77777777" w:rsidR="000543CB" w:rsidRDefault="00035889" w:rsidP="00473ABC">
    <w:pPr>
      <w:pStyle w:val="Nagwek"/>
      <w:tabs>
        <w:tab w:val="clear" w:pos="4536"/>
        <w:tab w:val="clear" w:pos="9072"/>
        <w:tab w:val="left" w:pos="3300"/>
      </w:tabs>
    </w:pPr>
    <w:r w:rsidRPr="00035889">
      <w:rPr>
        <w:noProof/>
        <w:lang w:eastAsia="pl-PL"/>
      </w:rPr>
      <w:drawing>
        <wp:inline distT="0" distB="0" distL="0" distR="0" wp14:anchorId="5C80D8A2" wp14:editId="56039E76">
          <wp:extent cx="5759450" cy="780157"/>
          <wp:effectExtent l="1905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88D3C" w14:textId="77777777" w:rsidR="00035889" w:rsidRPr="00D6427D" w:rsidRDefault="00035889" w:rsidP="00035889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i/>
      </w:rPr>
      <w:t xml:space="preserve">Projekt </w:t>
    </w:r>
    <w:r>
      <w:rPr>
        <w:i/>
      </w:rPr>
      <w:t xml:space="preserve">pt. </w:t>
    </w:r>
    <w:r w:rsidRPr="0075030C">
      <w:rPr>
        <w:rFonts w:cstheme="minorHAnsi"/>
        <w:b/>
        <w:i/>
      </w:rPr>
      <w:t>„</w:t>
    </w:r>
    <w:r>
      <w:rPr>
        <w:rFonts w:cstheme="minorHAnsi"/>
        <w:b/>
        <w:i/>
      </w:rPr>
      <w:t>DUO – Uniwersytet Śląski uczelnią dostępną, uniwersalną i otwartą</w:t>
    </w:r>
    <w:r w:rsidRPr="0075030C">
      <w:rPr>
        <w:rFonts w:cstheme="minorHAnsi"/>
        <w:b/>
        <w:i/>
      </w:rPr>
      <w:t>”</w:t>
    </w:r>
  </w:p>
  <w:p w14:paraId="081F288B" w14:textId="77777777" w:rsidR="000543CB" w:rsidRPr="00ED7DF0" w:rsidRDefault="008707CD" w:rsidP="00F13C27">
    <w:pPr>
      <w:pStyle w:val="Nagwek"/>
      <w:jc w:val="center"/>
    </w:pPr>
    <w:r>
      <w:rPr>
        <w:i/>
      </w:rPr>
      <w:pict w14:anchorId="63E2E603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29F2" w14:textId="77777777" w:rsidR="00035889" w:rsidRDefault="00035889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73EA6"/>
    <w:multiLevelType w:val="hybridMultilevel"/>
    <w:tmpl w:val="620E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87FE6"/>
    <w:multiLevelType w:val="hybridMultilevel"/>
    <w:tmpl w:val="F4863D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85D91"/>
    <w:multiLevelType w:val="hybridMultilevel"/>
    <w:tmpl w:val="C1A2E7FC"/>
    <w:lvl w:ilvl="0" w:tplc="0FFA59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200DB"/>
    <w:multiLevelType w:val="hybridMultilevel"/>
    <w:tmpl w:val="15E8A690"/>
    <w:lvl w:ilvl="0" w:tplc="03260D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C6C0F"/>
    <w:multiLevelType w:val="hybridMultilevel"/>
    <w:tmpl w:val="913AC8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49C1"/>
    <w:rsid w:val="000178F5"/>
    <w:rsid w:val="00035889"/>
    <w:rsid w:val="000506DF"/>
    <w:rsid w:val="000543CB"/>
    <w:rsid w:val="000B0B32"/>
    <w:rsid w:val="000E006F"/>
    <w:rsid w:val="0010113C"/>
    <w:rsid w:val="00104C70"/>
    <w:rsid w:val="00116519"/>
    <w:rsid w:val="00121E32"/>
    <w:rsid w:val="00130A27"/>
    <w:rsid w:val="001473E4"/>
    <w:rsid w:val="0016433D"/>
    <w:rsid w:val="00166556"/>
    <w:rsid w:val="00193037"/>
    <w:rsid w:val="001B4ADD"/>
    <w:rsid w:val="001C0030"/>
    <w:rsid w:val="001C6A57"/>
    <w:rsid w:val="001E170A"/>
    <w:rsid w:val="001F6BBF"/>
    <w:rsid w:val="00285B69"/>
    <w:rsid w:val="002B21CE"/>
    <w:rsid w:val="002B25CD"/>
    <w:rsid w:val="002C0E7A"/>
    <w:rsid w:val="002F0EFE"/>
    <w:rsid w:val="00334D7C"/>
    <w:rsid w:val="003656CF"/>
    <w:rsid w:val="00373107"/>
    <w:rsid w:val="003829BD"/>
    <w:rsid w:val="003A6C25"/>
    <w:rsid w:val="003C6E86"/>
    <w:rsid w:val="003D343A"/>
    <w:rsid w:val="003E4614"/>
    <w:rsid w:val="004454C2"/>
    <w:rsid w:val="0045470B"/>
    <w:rsid w:val="00473ABC"/>
    <w:rsid w:val="00484202"/>
    <w:rsid w:val="00497B77"/>
    <w:rsid w:val="004C3C5C"/>
    <w:rsid w:val="004C5D91"/>
    <w:rsid w:val="004D3B2F"/>
    <w:rsid w:val="005078C4"/>
    <w:rsid w:val="00507937"/>
    <w:rsid w:val="0051312B"/>
    <w:rsid w:val="00534EC2"/>
    <w:rsid w:val="00540B02"/>
    <w:rsid w:val="00565D75"/>
    <w:rsid w:val="005A3375"/>
    <w:rsid w:val="005A5028"/>
    <w:rsid w:val="005A6567"/>
    <w:rsid w:val="005D07F1"/>
    <w:rsid w:val="005E17E4"/>
    <w:rsid w:val="00611071"/>
    <w:rsid w:val="00623257"/>
    <w:rsid w:val="006371F8"/>
    <w:rsid w:val="00640A84"/>
    <w:rsid w:val="00681AAE"/>
    <w:rsid w:val="00695E66"/>
    <w:rsid w:val="00696578"/>
    <w:rsid w:val="006B313C"/>
    <w:rsid w:val="006B3EC6"/>
    <w:rsid w:val="006C3CE4"/>
    <w:rsid w:val="006C4785"/>
    <w:rsid w:val="006D0578"/>
    <w:rsid w:val="006E701B"/>
    <w:rsid w:val="006E70F7"/>
    <w:rsid w:val="00702CDB"/>
    <w:rsid w:val="007225BC"/>
    <w:rsid w:val="00726896"/>
    <w:rsid w:val="00730A76"/>
    <w:rsid w:val="00750D53"/>
    <w:rsid w:val="007817C9"/>
    <w:rsid w:val="007819FF"/>
    <w:rsid w:val="0078679D"/>
    <w:rsid w:val="00795254"/>
    <w:rsid w:val="007B3734"/>
    <w:rsid w:val="007D1DB2"/>
    <w:rsid w:val="00811829"/>
    <w:rsid w:val="008600E2"/>
    <w:rsid w:val="008707CD"/>
    <w:rsid w:val="00870A01"/>
    <w:rsid w:val="00877302"/>
    <w:rsid w:val="008A609D"/>
    <w:rsid w:val="008F2D81"/>
    <w:rsid w:val="00911611"/>
    <w:rsid w:val="00966507"/>
    <w:rsid w:val="00967549"/>
    <w:rsid w:val="00995DD0"/>
    <w:rsid w:val="009C2270"/>
    <w:rsid w:val="009C2B3C"/>
    <w:rsid w:val="00A048DF"/>
    <w:rsid w:val="00A04F3B"/>
    <w:rsid w:val="00A11C1D"/>
    <w:rsid w:val="00A22098"/>
    <w:rsid w:val="00A22B64"/>
    <w:rsid w:val="00A23F49"/>
    <w:rsid w:val="00A3520E"/>
    <w:rsid w:val="00A639C2"/>
    <w:rsid w:val="00A95A29"/>
    <w:rsid w:val="00A97BEE"/>
    <w:rsid w:val="00AB4AAE"/>
    <w:rsid w:val="00AB4F30"/>
    <w:rsid w:val="00AC1658"/>
    <w:rsid w:val="00AE39E9"/>
    <w:rsid w:val="00AE4140"/>
    <w:rsid w:val="00AF1B83"/>
    <w:rsid w:val="00B0259E"/>
    <w:rsid w:val="00B25D54"/>
    <w:rsid w:val="00B30247"/>
    <w:rsid w:val="00B47368"/>
    <w:rsid w:val="00BB083C"/>
    <w:rsid w:val="00BB77A0"/>
    <w:rsid w:val="00BC5109"/>
    <w:rsid w:val="00BC73DF"/>
    <w:rsid w:val="00BE0C35"/>
    <w:rsid w:val="00BE12CF"/>
    <w:rsid w:val="00BF79D7"/>
    <w:rsid w:val="00C120FC"/>
    <w:rsid w:val="00C5034D"/>
    <w:rsid w:val="00C55458"/>
    <w:rsid w:val="00C573D9"/>
    <w:rsid w:val="00C967AD"/>
    <w:rsid w:val="00D149FE"/>
    <w:rsid w:val="00D4222D"/>
    <w:rsid w:val="00D5117D"/>
    <w:rsid w:val="00D557CB"/>
    <w:rsid w:val="00D632AD"/>
    <w:rsid w:val="00D648CE"/>
    <w:rsid w:val="00D8332C"/>
    <w:rsid w:val="00D90189"/>
    <w:rsid w:val="00DC0A5B"/>
    <w:rsid w:val="00DF2B61"/>
    <w:rsid w:val="00E34CD7"/>
    <w:rsid w:val="00E378A9"/>
    <w:rsid w:val="00E56F64"/>
    <w:rsid w:val="00E60EE7"/>
    <w:rsid w:val="00E957E6"/>
    <w:rsid w:val="00EC4BB9"/>
    <w:rsid w:val="00ED7DF0"/>
    <w:rsid w:val="00EE5DF4"/>
    <w:rsid w:val="00EF3ED1"/>
    <w:rsid w:val="00F13C27"/>
    <w:rsid w:val="00F163B0"/>
    <w:rsid w:val="00F17EFF"/>
    <w:rsid w:val="00F42DD2"/>
    <w:rsid w:val="00F44036"/>
    <w:rsid w:val="00FE179E"/>
    <w:rsid w:val="00FE2559"/>
    <w:rsid w:val="00FE355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26CAA"/>
  <w15:docId w15:val="{5EB0260A-0AB9-4D8C-A10A-E3A568D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6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rsid w:val="005A6567"/>
    <w:rPr>
      <w:color w:val="0000FF"/>
      <w:u w:val="single"/>
    </w:rPr>
  </w:style>
  <w:style w:type="table" w:styleId="Tabela-Siatka">
    <w:name w:val="Table Grid"/>
    <w:basedOn w:val="Standardowy"/>
    <w:uiPriority w:val="59"/>
    <w:rsid w:val="0016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6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5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5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967A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7A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1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E783-05BF-1B4C-B8AE-7AD5278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Piech</dc:creator>
  <cp:lastModifiedBy>Karol Brodziak</cp:lastModifiedBy>
  <cp:revision>11</cp:revision>
  <cp:lastPrinted>2018-03-01T13:24:00Z</cp:lastPrinted>
  <dcterms:created xsi:type="dcterms:W3CDTF">2022-06-03T04:44:00Z</dcterms:created>
  <dcterms:modified xsi:type="dcterms:W3CDTF">2022-06-04T06:41:00Z</dcterms:modified>
</cp:coreProperties>
</file>