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</w:rPr>
        <w:t>„Szkolenie członków wydziałowych komisji rekrutacyjnych w sprawnej obsłudze systemu Internetowej Rejestracji Kandydatów na studia”</w:t>
      </w:r>
      <w:r>
        <w:rPr>
          <w:rFonts w:hint="default"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  <w:lang w:val="pl-PL"/>
        </w:rPr>
        <w:t xml:space="preserve"> - na rok akademicki </w:t>
      </w:r>
      <w:bookmarkStart w:id="0" w:name="_GoBack"/>
      <w:bookmarkEnd w:id="0"/>
      <w:r>
        <w:rPr>
          <w:rFonts w:hint="default" w:ascii="Bookman Old Style" w:hAnsi="Bookman Old Style" w:cs="Bookman Old Style"/>
          <w:b/>
          <w:bCs/>
          <w:color w:val="000000"/>
          <w:sz w:val="22"/>
          <w:szCs w:val="22"/>
          <w:shd w:val="clear" w:color="auto" w:fill="FFFFFF"/>
          <w:lang w:val="pl-PL"/>
        </w:rPr>
        <w:t>2023/2024</w:t>
      </w:r>
    </w:p>
    <w:p>
      <w:pPr>
        <w:rPr>
          <w:rFonts w:hint="default" w:ascii="Bookman Old Style" w:hAnsi="Bookman Old Style" w:cs="Bookman Old Style"/>
          <w:sz w:val="22"/>
          <w:szCs w:val="22"/>
          <w:lang w:val="pl-PL"/>
        </w:rPr>
      </w:pPr>
    </w:p>
    <w:p>
      <w:pPr>
        <w:rPr>
          <w:rFonts w:hint="default" w:ascii="Bookman Old Style" w:hAnsi="Bookman Old Style" w:cs="Bookman Old Style"/>
          <w:sz w:val="22"/>
          <w:szCs w:val="22"/>
          <w:lang w:val="pl-PL"/>
        </w:rPr>
      </w:pPr>
    </w:p>
    <w:p>
      <w:pPr>
        <w:spacing w:line="360" w:lineRule="auto"/>
        <w:rPr>
          <w:rFonts w:hint="default" w:ascii="Bookman Old Style" w:hAnsi="Bookman Old Style" w:cs="Bookman Old Style"/>
          <w:b/>
          <w:b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b/>
          <w:bCs/>
          <w:sz w:val="22"/>
          <w:szCs w:val="22"/>
          <w:lang w:val="pl-PL"/>
        </w:rPr>
        <w:t>PROGRAM SZKOLENIA</w:t>
      </w:r>
    </w:p>
    <w:p>
      <w:pPr>
        <w:spacing w:line="360" w:lineRule="auto"/>
        <w:rPr>
          <w:rFonts w:hint="default" w:ascii="Bookman Old Style" w:hAnsi="Bookman Old Style" w:cs="Bookman Old Style"/>
          <w:sz w:val="22"/>
          <w:szCs w:val="22"/>
          <w:lang w:val="pl-PL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Omówienie aktów prawnych związanych z rekrutacją na studia.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„Prezentacja rekrutacji” w formie slajdów, zawierająca podstawowe informacje dotyczące rekrutacji.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Omówienie „Instrukcji Internetowej Rejestracji Kandydatów na studia (IRK2)” wg poniższych zagadnień:</w:t>
      </w:r>
    </w:p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Opis zadań administratorów IRK2 posiadających funkcję sekretarza komisji rekrutacyjnej: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Podgląd kandydatów w IRK2;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Zarządzanie pytaniami od kandydatów;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 xml:space="preserve">Podgląd odpowiedzi kandydatów do zestawów pytań; 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Wprowadzanie wyników matur;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Obliczanie wyników kwalifikacyjnych w tym przeliczanie ocen ze świadectw uzyskanych za granicą lub dyplomów ukończenia studiów wyższych;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Przyjęcia na studia;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Wysyłanie zbiorczych wiadomości do kandydatów;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Nieuruchomienie kierunku;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Sporządzanie wniosków o kolejne nabory;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Generowanie decyzji administracyjnych;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Rodzaje decyzji administracyjnych w zależności od statutu kandydata;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Podpisywanie i publikowanie decyzji administracyjnych;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Drukowanie raportów;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 xml:space="preserve">Sporządzanie dokumentacji z przebiegu postępowania rekrutacyjnego w tym, protokołów zbiorczych, list rankingowych, list zakwalifikowanych do przyjęcia i protokołów indywidualnych; </w:t>
      </w:r>
    </w:p>
    <w:p>
      <w:pPr>
        <w:numPr>
          <w:ilvl w:val="0"/>
          <w:numId w:val="2"/>
        </w:numPr>
        <w:spacing w:line="360" w:lineRule="auto"/>
        <w:ind w:left="845" w:leftChars="0" w:hanging="425" w:firstLineChars="0"/>
        <w:jc w:val="both"/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i/>
          <w:iCs/>
          <w:sz w:val="22"/>
          <w:szCs w:val="22"/>
          <w:lang w:val="pl-PL"/>
        </w:rPr>
        <w:t>Podpisywanie dokumentów i decyzji podpisem kwalifikowanym.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Testowanie ww. zadań w systemie IRK2.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Pytania i odpowiedzi.</w:t>
      </w:r>
    </w:p>
    <w:p>
      <w:pPr>
        <w:numPr>
          <w:numId w:val="0"/>
        </w:numPr>
        <w:spacing w:line="360" w:lineRule="auto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Bookman Old Style" w:hAnsi="Bookman Old Style" w:cs="Bookman Old Style"/>
          <w:sz w:val="22"/>
          <w:szCs w:val="22"/>
          <w:lang w:val="pl-PL"/>
        </w:rPr>
      </w:pPr>
      <w:r>
        <w:rPr>
          <w:rFonts w:hint="default" w:ascii="Bookman Old Style" w:hAnsi="Bookman Old Style" w:cs="Bookman Old Style"/>
          <w:sz w:val="22"/>
          <w:szCs w:val="22"/>
          <w:lang w:val="pl-PL"/>
        </w:rPr>
        <w:t>Katowice, dnia 12 czerwiec 2023 r.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2B768"/>
    <w:multiLevelType w:val="singleLevel"/>
    <w:tmpl w:val="7472B768"/>
    <w:lvl w:ilvl="0" w:tentative="0">
      <w:start w:val="1"/>
      <w:numFmt w:val="decimal"/>
      <w:lvlText w:val="%1)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">
    <w:nsid w:val="75E2917B"/>
    <w:multiLevelType w:val="singleLevel"/>
    <w:tmpl w:val="75E291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2CEC"/>
    <w:rsid w:val="00662CD1"/>
    <w:rsid w:val="0D1436DA"/>
    <w:rsid w:val="14E92BE2"/>
    <w:rsid w:val="1D852CEC"/>
    <w:rsid w:val="35FB3881"/>
    <w:rsid w:val="362548FD"/>
    <w:rsid w:val="398A0C50"/>
    <w:rsid w:val="50FF2147"/>
    <w:rsid w:val="69A16C05"/>
    <w:rsid w:val="6FAD6CDB"/>
    <w:rsid w:val="70B51D5B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2023-06-12T10:43:00Z</dcterms:created>
  <dc:creator>mdrenda</dc:creator>
  <cp:lastModifiedBy>mdrenda</cp:lastModifiedBy>
  <dcterms:modified xsi:type="dcterms:W3CDTF">2023-06-12T12:11:04Z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DD0E7004FE0E4C2FB223149F4634F018</vt:lpwstr>
  </property>
</Properties>
</file>